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AD54" w14:textId="77777777" w:rsidR="00EA6382" w:rsidRDefault="00EA6382" w:rsidP="00EA6382">
      <w:pPr>
        <w:rPr>
          <w:rFonts w:ascii="Calibri" w:hAnsi="Calibri" w:cs="Calibri"/>
          <w:color w:val="161719"/>
          <w:kern w:val="0"/>
          <w:sz w:val="24"/>
          <w:szCs w:val="24"/>
          <w:shd w:val="clear" w:color="auto" w:fill="FFFFFF"/>
          <w14:ligatures w14:val="none"/>
        </w:rPr>
      </w:pPr>
    </w:p>
    <w:p w14:paraId="7E3AA658" w14:textId="77777777" w:rsidR="00EA6382" w:rsidRPr="00EA6382" w:rsidRDefault="00EA6382" w:rsidP="00604AA9">
      <w:pPr>
        <w:jc w:val="center"/>
        <w:rPr>
          <w:rFonts w:ascii="Calibri" w:hAnsi="Calibri" w:cs="Calibri"/>
          <w:color w:val="161719"/>
          <w:kern w:val="0"/>
          <w:sz w:val="24"/>
          <w:szCs w:val="24"/>
          <w:shd w:val="clear" w:color="auto" w:fill="FFFFFF"/>
          <w:lang w:val="en-IL"/>
          <w14:ligatures w14:val="none"/>
        </w:rPr>
      </w:pPr>
      <w:r w:rsidRPr="00EA6382">
        <w:rPr>
          <w:rFonts w:ascii="Calibri" w:hAnsi="Calibri" w:cs="Calibri"/>
          <w:color w:val="161719"/>
          <w:kern w:val="0"/>
          <w:sz w:val="24"/>
          <w:szCs w:val="24"/>
          <w:shd w:val="clear" w:color="auto" w:fill="FFFFFF"/>
          <w:lang w:val="en-IL"/>
          <w14:ligatures w14:val="none"/>
        </w:rPr>
        <w:t xml:space="preserve">"Functional and Evolutionary Insights into Dual CRISPR-Cas Systems in the Halophilic Archaeon </w:t>
      </w:r>
      <w:proofErr w:type="spellStart"/>
      <w:r w:rsidRPr="00EA6382">
        <w:rPr>
          <w:rFonts w:ascii="Calibri" w:hAnsi="Calibri" w:cs="Calibri"/>
          <w:i/>
          <w:iCs/>
          <w:color w:val="161719"/>
          <w:kern w:val="0"/>
          <w:sz w:val="24"/>
          <w:szCs w:val="24"/>
          <w:shd w:val="clear" w:color="auto" w:fill="FFFFFF"/>
          <w:lang w:val="en-IL"/>
          <w14:ligatures w14:val="none"/>
        </w:rPr>
        <w:t>Haloferax</w:t>
      </w:r>
      <w:proofErr w:type="spellEnd"/>
      <w:r w:rsidRPr="00EA6382">
        <w:rPr>
          <w:rFonts w:ascii="Calibri" w:hAnsi="Calibri" w:cs="Calibri"/>
          <w:i/>
          <w:iCs/>
          <w:color w:val="161719"/>
          <w:kern w:val="0"/>
          <w:sz w:val="24"/>
          <w:szCs w:val="24"/>
          <w:shd w:val="clear" w:color="auto" w:fill="FFFFFF"/>
          <w:lang w:val="en-IL"/>
          <w14:ligatures w14:val="none"/>
        </w:rPr>
        <w:t xml:space="preserve"> </w:t>
      </w:r>
      <w:proofErr w:type="spellStart"/>
      <w:r w:rsidRPr="00EA6382">
        <w:rPr>
          <w:rFonts w:ascii="Calibri" w:hAnsi="Calibri" w:cs="Calibri"/>
          <w:i/>
          <w:iCs/>
          <w:color w:val="161719"/>
          <w:kern w:val="0"/>
          <w:sz w:val="24"/>
          <w:szCs w:val="24"/>
          <w:shd w:val="clear" w:color="auto" w:fill="FFFFFF"/>
          <w:lang w:val="en-IL"/>
          <w14:ligatures w14:val="none"/>
        </w:rPr>
        <w:t>lucentense</w:t>
      </w:r>
      <w:proofErr w:type="spellEnd"/>
      <w:r w:rsidRPr="00EA6382">
        <w:rPr>
          <w:rFonts w:ascii="Calibri" w:hAnsi="Calibri" w:cs="Calibri"/>
          <w:color w:val="161719"/>
          <w:kern w:val="0"/>
          <w:sz w:val="24"/>
          <w:szCs w:val="24"/>
          <w:shd w:val="clear" w:color="auto" w:fill="FFFFFF"/>
          <w:lang w:val="en-IL"/>
          <w14:ligatures w14:val="none"/>
        </w:rPr>
        <w:t>"</w:t>
      </w:r>
    </w:p>
    <w:p w14:paraId="2502CC36" w14:textId="245E31C9" w:rsidR="00EA6382" w:rsidRPr="00EA6382" w:rsidRDefault="00EA6382" w:rsidP="00604AA9">
      <w:pPr>
        <w:jc w:val="center"/>
        <w:rPr>
          <w:rFonts w:ascii="Calibri" w:hAnsi="Calibri" w:cs="Calibri"/>
          <w:color w:val="161719"/>
          <w:kern w:val="0"/>
          <w:sz w:val="24"/>
          <w:szCs w:val="24"/>
          <w:shd w:val="clear" w:color="auto" w:fill="FFFFFF"/>
          <w:lang w:val="en-IL"/>
          <w14:ligatures w14:val="none"/>
        </w:rPr>
      </w:pPr>
      <w:r>
        <w:rPr>
          <w:rFonts w:ascii="Calibri" w:hAnsi="Calibri" w:cs="Calibri"/>
          <w:color w:val="161719"/>
          <w:kern w:val="0"/>
          <w:sz w:val="24"/>
          <w:szCs w:val="24"/>
          <w:shd w:val="clear" w:color="auto" w:fill="FFFFFF"/>
          <w:lang w:val="en-IL"/>
          <w14:ligatures w14:val="none"/>
        </w:rPr>
        <w:t xml:space="preserve">By Doron Naki under the supervision of Prof. Uri </w:t>
      </w:r>
      <w:proofErr w:type="spellStart"/>
      <w:r>
        <w:rPr>
          <w:rFonts w:ascii="Calibri" w:hAnsi="Calibri" w:cs="Calibri"/>
          <w:color w:val="161719"/>
          <w:kern w:val="0"/>
          <w:sz w:val="24"/>
          <w:szCs w:val="24"/>
          <w:shd w:val="clear" w:color="auto" w:fill="FFFFFF"/>
          <w:lang w:val="en-IL"/>
          <w14:ligatures w14:val="none"/>
        </w:rPr>
        <w:t>Gophna</w:t>
      </w:r>
      <w:proofErr w:type="spellEnd"/>
    </w:p>
    <w:p w14:paraId="5C9109C0" w14:textId="77777777" w:rsidR="00EA6382" w:rsidRDefault="00EA6382" w:rsidP="00EA6382">
      <w:pPr>
        <w:rPr>
          <w:rFonts w:ascii="Calibri" w:hAnsi="Calibri" w:cs="Calibri"/>
          <w:color w:val="161719"/>
          <w:kern w:val="0"/>
          <w:sz w:val="24"/>
          <w:szCs w:val="24"/>
          <w:shd w:val="clear" w:color="auto" w:fill="FFFFFF"/>
          <w14:ligatures w14:val="none"/>
        </w:rPr>
      </w:pPr>
    </w:p>
    <w:p w14:paraId="2138B152" w14:textId="77777777" w:rsidR="00EA6382" w:rsidRDefault="00EA6382" w:rsidP="00EA6382">
      <w:pPr>
        <w:rPr>
          <w:rFonts w:ascii="Calibri" w:hAnsi="Calibri" w:cs="Calibri"/>
          <w:color w:val="161719"/>
          <w:kern w:val="0"/>
          <w:sz w:val="24"/>
          <w:szCs w:val="24"/>
          <w:shd w:val="clear" w:color="auto" w:fill="FFFFFF"/>
          <w14:ligatures w14:val="none"/>
        </w:rPr>
      </w:pPr>
    </w:p>
    <w:p w14:paraId="132007EF" w14:textId="77777777" w:rsidR="00B87579" w:rsidRDefault="00B87579" w:rsidP="00B87579">
      <w:pPr>
        <w:rPr>
          <w:lang w:val="en-IL"/>
        </w:rPr>
      </w:pPr>
      <w:r w:rsidRPr="00B87579">
        <w:rPr>
          <w:lang w:val="en-IL"/>
        </w:rPr>
        <w:t>Microorganisms interact with various mobile genetic elements (</w:t>
      </w:r>
      <w:proofErr w:type="spellStart"/>
      <w:r w:rsidRPr="00B87579">
        <w:rPr>
          <w:lang w:val="en-IL"/>
        </w:rPr>
        <w:t>MGEs</w:t>
      </w:r>
      <w:proofErr w:type="spellEnd"/>
      <w:r w:rsidRPr="00B87579">
        <w:rPr>
          <w:lang w:val="en-IL"/>
        </w:rPr>
        <w:t xml:space="preserve">) in complex ways that encompass both cooperation and competition. Prokaryotes have evolved adaptive immune mechanisms to counter </w:t>
      </w:r>
      <w:proofErr w:type="spellStart"/>
      <w:r w:rsidRPr="00B87579">
        <w:rPr>
          <w:lang w:val="en-IL"/>
        </w:rPr>
        <w:t>MGEs</w:t>
      </w:r>
      <w:proofErr w:type="spellEnd"/>
      <w:r w:rsidRPr="00B87579">
        <w:rPr>
          <w:lang w:val="en-IL"/>
        </w:rPr>
        <w:t xml:space="preserve">, such as Clustered Regularly Interspaced Short Palindromic Repeats (CRISPR) and CRISPR-associated (Cas) systems. In this study, we explore the intriguing CRISPR-Cas system dynamics within the halophilic archaeon, </w:t>
      </w:r>
      <w:proofErr w:type="spellStart"/>
      <w:r w:rsidRPr="00B87579">
        <w:rPr>
          <w:i/>
          <w:iCs/>
          <w:lang w:val="en-IL"/>
        </w:rPr>
        <w:t>Haloferax</w:t>
      </w:r>
      <w:proofErr w:type="spellEnd"/>
      <w:r w:rsidRPr="00B87579">
        <w:rPr>
          <w:i/>
          <w:iCs/>
          <w:lang w:val="en-IL"/>
        </w:rPr>
        <w:t xml:space="preserve"> </w:t>
      </w:r>
      <w:proofErr w:type="spellStart"/>
      <w:r w:rsidRPr="00B87579">
        <w:rPr>
          <w:i/>
          <w:iCs/>
          <w:lang w:val="en-IL"/>
        </w:rPr>
        <w:t>lucentense</w:t>
      </w:r>
      <w:proofErr w:type="spellEnd"/>
      <w:r w:rsidRPr="00B87579">
        <w:rPr>
          <w:lang w:val="en-IL"/>
        </w:rPr>
        <w:t>, which harbors two distinct type I-B CRISPR-Cas systems: a complete type I-B system on a plasmid and a second system encoded on a provirus that lacks the adaptation module necessary for new spacer acquisition. Our main objective is to understand the interaction between these two systems and their functional integration during viral infection.</w:t>
      </w:r>
      <w:r>
        <w:rPr>
          <w:lang w:val="en-IL"/>
        </w:rPr>
        <w:t xml:space="preserve"> </w:t>
      </w:r>
    </w:p>
    <w:p w14:paraId="10DA0161" w14:textId="72E34020" w:rsidR="00B87579" w:rsidRPr="00B87579" w:rsidRDefault="00B87579" w:rsidP="00B87579">
      <w:pPr>
        <w:rPr>
          <w:lang w:val="en-IL"/>
        </w:rPr>
      </w:pPr>
      <w:r w:rsidRPr="00B87579">
        <w:rPr>
          <w:lang w:val="en-IL"/>
        </w:rPr>
        <w:t xml:space="preserve">Through spacer sequence analysis and comparative genomics, we identified intricate interactions between these systems. Upon infecting </w:t>
      </w:r>
      <w:r w:rsidRPr="00B87579">
        <w:rPr>
          <w:i/>
          <w:iCs/>
          <w:lang w:val="en-IL"/>
        </w:rPr>
        <w:t xml:space="preserve">H. </w:t>
      </w:r>
      <w:proofErr w:type="spellStart"/>
      <w:r w:rsidRPr="00B87579">
        <w:rPr>
          <w:i/>
          <w:iCs/>
          <w:lang w:val="en-IL"/>
        </w:rPr>
        <w:t>lucentense</w:t>
      </w:r>
      <w:proofErr w:type="spellEnd"/>
      <w:r w:rsidRPr="00B87579">
        <w:rPr>
          <w:lang w:val="en-IL"/>
        </w:rPr>
        <w:t xml:space="preserve"> with HFPV-1 (</w:t>
      </w:r>
      <w:proofErr w:type="spellStart"/>
      <w:r w:rsidRPr="00B87579">
        <w:rPr>
          <w:i/>
          <w:iCs/>
          <w:lang w:val="en-IL"/>
        </w:rPr>
        <w:t>Haloferax</w:t>
      </w:r>
      <w:proofErr w:type="spellEnd"/>
      <w:r w:rsidRPr="00B87579">
        <w:rPr>
          <w:i/>
          <w:iCs/>
          <w:lang w:val="en-IL"/>
        </w:rPr>
        <w:t xml:space="preserve"> </w:t>
      </w:r>
      <w:proofErr w:type="spellStart"/>
      <w:r w:rsidRPr="00B87579">
        <w:rPr>
          <w:i/>
          <w:iCs/>
          <w:lang w:val="en-IL"/>
        </w:rPr>
        <w:t>volcanii</w:t>
      </w:r>
      <w:proofErr w:type="spellEnd"/>
      <w:r w:rsidRPr="00B87579">
        <w:rPr>
          <w:lang w:val="en-IL"/>
        </w:rPr>
        <w:t xml:space="preserve"> pleomorphic virus 1), we observed new spacer acquisition across all CRISPR arrays, indicating that the plasmid-based adaptation module acts as a backup to support the proviral CRISPR system. This research provides insights into the diversity of CRISPR-Cas systems, their roles in prokaryotic immunity, and the broader ecological and evolutionary dynamics between hosts and parasites.</w:t>
      </w:r>
    </w:p>
    <w:p w14:paraId="2F3828EF" w14:textId="77777777" w:rsidR="00C200CF" w:rsidRDefault="00C200CF">
      <w:pPr>
        <w:rPr>
          <w:lang w:val="en-IL"/>
        </w:rPr>
      </w:pPr>
    </w:p>
    <w:p w14:paraId="70A03823" w14:textId="2A33AC10" w:rsidR="00604AA9" w:rsidRDefault="00604AA9">
      <w:pPr>
        <w:rPr>
          <w:lang w:val="en-IL"/>
        </w:rPr>
      </w:pPr>
      <w:r>
        <w:rPr>
          <w:lang w:val="en-IL"/>
        </w:rPr>
        <w:t>Main points:</w:t>
      </w:r>
    </w:p>
    <w:p w14:paraId="647F213A" w14:textId="77777777" w:rsidR="00604AA9" w:rsidRPr="00604AA9" w:rsidRDefault="00604AA9" w:rsidP="00604AA9">
      <w:pPr>
        <w:numPr>
          <w:ilvl w:val="0"/>
          <w:numId w:val="1"/>
        </w:numPr>
        <w:rPr>
          <w:lang w:val="en-IL"/>
        </w:rPr>
      </w:pPr>
      <w:r w:rsidRPr="00604AA9">
        <w:rPr>
          <w:b/>
          <w:bCs/>
          <w:lang w:val="en-IL"/>
        </w:rPr>
        <w:t xml:space="preserve">Characterization and Functionality of Dual CRISPR-Cas Systems in </w:t>
      </w:r>
      <w:r w:rsidRPr="00604AA9">
        <w:rPr>
          <w:b/>
          <w:bCs/>
          <w:i/>
          <w:iCs/>
          <w:lang w:val="en-IL"/>
        </w:rPr>
        <w:t xml:space="preserve">H. </w:t>
      </w:r>
      <w:proofErr w:type="spellStart"/>
      <w:r w:rsidRPr="00604AA9">
        <w:rPr>
          <w:b/>
          <w:bCs/>
          <w:i/>
          <w:iCs/>
          <w:lang w:val="en-IL"/>
        </w:rPr>
        <w:t>lucentense</w:t>
      </w:r>
      <w:proofErr w:type="spellEnd"/>
    </w:p>
    <w:p w14:paraId="7C2AAD85" w14:textId="2A15BC98" w:rsidR="00604AA9" w:rsidRPr="00604AA9" w:rsidRDefault="00604AA9" w:rsidP="00604AA9">
      <w:pPr>
        <w:numPr>
          <w:ilvl w:val="1"/>
          <w:numId w:val="1"/>
        </w:numPr>
        <w:rPr>
          <w:lang w:val="en-IL"/>
        </w:rPr>
      </w:pPr>
      <w:r w:rsidRPr="00604AA9">
        <w:rPr>
          <w:lang w:val="en-IL"/>
        </w:rPr>
        <w:t>analysis of interference and the role of plasmid and provirus CRISPR-Cas systems.</w:t>
      </w:r>
    </w:p>
    <w:p w14:paraId="0C4FC666" w14:textId="139F372F" w:rsidR="00604AA9" w:rsidRPr="00604AA9" w:rsidRDefault="00604AA9" w:rsidP="00604AA9">
      <w:pPr>
        <w:numPr>
          <w:ilvl w:val="0"/>
          <w:numId w:val="1"/>
        </w:numPr>
        <w:rPr>
          <w:lang w:val="en-IL"/>
        </w:rPr>
      </w:pPr>
      <w:r w:rsidRPr="00604AA9">
        <w:rPr>
          <w:b/>
          <w:bCs/>
          <w:lang w:val="en-IL"/>
        </w:rPr>
        <w:t xml:space="preserve">Spacer Acquisition and Anti-Viral </w:t>
      </w:r>
      <w:proofErr w:type="spellStart"/>
      <w:r w:rsidRPr="00604AA9">
        <w:rPr>
          <w:b/>
          <w:bCs/>
          <w:lang w:val="en-IL"/>
        </w:rPr>
        <w:t>Defense</w:t>
      </w:r>
      <w:proofErr w:type="spellEnd"/>
    </w:p>
    <w:p w14:paraId="6B7AECED" w14:textId="35688423" w:rsidR="00604AA9" w:rsidRPr="00604AA9" w:rsidRDefault="00604AA9" w:rsidP="00604AA9">
      <w:pPr>
        <w:numPr>
          <w:ilvl w:val="1"/>
          <w:numId w:val="1"/>
        </w:numPr>
        <w:rPr>
          <w:lang w:val="en-IL"/>
        </w:rPr>
      </w:pPr>
      <w:r w:rsidRPr="00604AA9">
        <w:rPr>
          <w:lang w:val="en-IL"/>
        </w:rPr>
        <w:t xml:space="preserve">analysis of </w:t>
      </w:r>
      <w:r>
        <w:rPr>
          <w:lang w:val="en-IL"/>
        </w:rPr>
        <w:t>spacer acquisition after</w:t>
      </w:r>
      <w:r w:rsidRPr="00604AA9">
        <w:rPr>
          <w:lang w:val="en-IL"/>
        </w:rPr>
        <w:t xml:space="preserve"> viral infection (HFPV-1).</w:t>
      </w:r>
    </w:p>
    <w:p w14:paraId="65E030F0" w14:textId="77777777" w:rsidR="00604AA9" w:rsidRPr="00604AA9" w:rsidRDefault="00604AA9" w:rsidP="00604AA9">
      <w:pPr>
        <w:numPr>
          <w:ilvl w:val="0"/>
          <w:numId w:val="1"/>
        </w:numPr>
        <w:rPr>
          <w:lang w:val="en-IL"/>
        </w:rPr>
      </w:pPr>
      <w:r w:rsidRPr="00604AA9">
        <w:rPr>
          <w:b/>
          <w:bCs/>
          <w:lang w:val="en-IL"/>
        </w:rPr>
        <w:t>Eco-Evolutionary Perspectives and Broader Implications</w:t>
      </w:r>
    </w:p>
    <w:p w14:paraId="64C2564E" w14:textId="77777777" w:rsidR="00604AA9" w:rsidRPr="00604AA9" w:rsidRDefault="00604AA9" w:rsidP="00604AA9">
      <w:pPr>
        <w:numPr>
          <w:ilvl w:val="1"/>
          <w:numId w:val="1"/>
        </w:numPr>
        <w:rPr>
          <w:lang w:val="en-IL"/>
        </w:rPr>
      </w:pPr>
      <w:r w:rsidRPr="00604AA9">
        <w:rPr>
          <w:lang w:val="en-IL"/>
        </w:rPr>
        <w:t>Comparative analysis with other archaea, highlighting host-parasite co-evolution dynamics and CRISPR-Cas diversity.</w:t>
      </w:r>
    </w:p>
    <w:p w14:paraId="4B451921" w14:textId="77777777" w:rsidR="00604AA9" w:rsidRPr="00B87579" w:rsidRDefault="00604AA9">
      <w:pPr>
        <w:rPr>
          <w:lang w:val="en-IL"/>
        </w:rPr>
      </w:pPr>
    </w:p>
    <w:sectPr w:rsidR="00604AA9" w:rsidRPr="00B87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05386"/>
    <w:multiLevelType w:val="multilevel"/>
    <w:tmpl w:val="26EA2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1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82"/>
    <w:rsid w:val="00432FA6"/>
    <w:rsid w:val="00604AA9"/>
    <w:rsid w:val="00664E55"/>
    <w:rsid w:val="00B87579"/>
    <w:rsid w:val="00C200CF"/>
    <w:rsid w:val="00EA6382"/>
    <w:rsid w:val="00E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A7125"/>
  <w15:chartTrackingRefBased/>
  <w15:docId w15:val="{16097CD9-297A-4541-95DB-2B65189D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AA9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266</Words>
  <Characters>1706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naky</dc:creator>
  <cp:keywords/>
  <dc:description/>
  <cp:lastModifiedBy>doron naky</cp:lastModifiedBy>
  <cp:revision>1</cp:revision>
  <dcterms:created xsi:type="dcterms:W3CDTF">2024-10-30T10:05:00Z</dcterms:created>
  <dcterms:modified xsi:type="dcterms:W3CDTF">2024-10-30T10:40:00Z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3c5c8460-b8c1-4b02-ad3f-52d5072017f5</vt:lpwstr>
  </property>
</Properties>
</file>